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5BF41E">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lang w:eastAsia="zh-CN"/>
        </w:rPr>
        <w:t>第四讲</w:t>
      </w:r>
      <w:r>
        <w:rPr>
          <w:rFonts w:hint="eastAsia" w:ascii="方正小标宋简体" w:hAnsi="方正小标宋简体" w:eastAsia="方正小标宋简体" w:cs="方正小标宋简体"/>
          <w:b w:val="0"/>
          <w:bCs w:val="0"/>
          <w:sz w:val="44"/>
          <w:szCs w:val="44"/>
          <w:lang w:val="en-US" w:eastAsia="zh-CN"/>
        </w:rPr>
        <w:t xml:space="preserve">  </w:t>
      </w:r>
      <w:r>
        <w:rPr>
          <w:rFonts w:hint="eastAsia" w:ascii="方正小标宋简体" w:hAnsi="方正小标宋简体" w:eastAsia="方正小标宋简体" w:cs="方正小标宋简体"/>
          <w:b w:val="0"/>
          <w:bCs w:val="0"/>
          <w:sz w:val="44"/>
          <w:szCs w:val="44"/>
        </w:rPr>
        <w:t>放疗与化疗、靶向治疗的联合应用</w:t>
      </w:r>
    </w:p>
    <w:p w14:paraId="0FBD3000">
      <w:pPr>
        <w:keepNext w:val="0"/>
        <w:keepLines w:val="0"/>
        <w:pageBreakBefore w:val="0"/>
        <w:widowControl w:val="0"/>
        <w:kinsoku/>
        <w:wordWrap/>
        <w:overflowPunct/>
        <w:topLinePunct w:val="0"/>
        <w:autoSpaceDE/>
        <w:autoSpaceDN/>
        <w:bidi w:val="0"/>
        <w:adjustRightInd/>
        <w:snapToGrid/>
        <w:spacing w:line="590" w:lineRule="exact"/>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lang w:val="en-US" w:eastAsia="zh-CN"/>
        </w:rPr>
        <w:t xml:space="preserve">     </w:t>
      </w:r>
      <w:r>
        <w:rPr>
          <w:rFonts w:hint="eastAsia" w:ascii="方正小标宋简体" w:hAnsi="方正小标宋简体" w:eastAsia="方正小标宋简体" w:cs="方正小标宋简体"/>
          <w:b w:val="0"/>
          <w:bCs w:val="0"/>
          <w:sz w:val="44"/>
          <w:szCs w:val="44"/>
        </w:rPr>
        <w:t>机制探索与临床实践进展</w:t>
      </w:r>
    </w:p>
    <w:p w14:paraId="2D2E61DB">
      <w:pPr>
        <w:keepNext w:val="0"/>
        <w:keepLines w:val="0"/>
        <w:pageBreakBefore w:val="0"/>
        <w:widowControl w:val="0"/>
        <w:kinsoku/>
        <w:wordWrap/>
        <w:overflowPunct/>
        <w:topLinePunct w:val="0"/>
        <w:autoSpaceDE/>
        <w:autoSpaceDN/>
        <w:bidi w:val="0"/>
        <w:adjustRightInd/>
        <w:snapToGrid/>
        <w:spacing w:line="590" w:lineRule="exact"/>
        <w:ind w:firstLine="2240" w:firstLineChars="7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福建省肿瘤医院</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姚奇伟</w:t>
      </w:r>
    </w:p>
    <w:p w14:paraId="464B0429">
      <w:pPr>
        <w:keepNext w:val="0"/>
        <w:keepLines w:val="0"/>
        <w:pageBreakBefore w:val="0"/>
        <w:widowControl w:val="0"/>
        <w:kinsoku/>
        <w:wordWrap/>
        <w:overflowPunct/>
        <w:topLinePunct w:val="0"/>
        <w:autoSpaceDE/>
        <w:autoSpaceDN/>
        <w:bidi w:val="0"/>
        <w:adjustRightInd/>
        <w:snapToGrid/>
        <w:spacing w:line="590" w:lineRule="exact"/>
        <w:ind w:firstLine="2240" w:firstLineChars="700"/>
        <w:jc w:val="both"/>
        <w:textAlignment w:val="auto"/>
        <w:rPr>
          <w:rFonts w:hint="eastAsia" w:ascii="仿宋_GB2312" w:hAnsi="仿宋_GB2312" w:eastAsia="仿宋_GB2312" w:cs="仿宋_GB2312"/>
          <w:sz w:val="32"/>
          <w:szCs w:val="32"/>
        </w:rPr>
      </w:pPr>
    </w:p>
    <w:p w14:paraId="719E7E58">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随着肿瘤治疗理念的革新，多模态联合治疗已成为提高恶性肿瘤疗效的重要策略。本文系统综述放疗（Radiotherapy, RT）与化疗（Chemotherapy）、靶向治疗（Targeted Therapy）及免疫治疗（Immunotherapy）的协同作用机制，分析关键临床研究数据，并探讨联合治疗中的优化策略与挑战。研究显示，放疗可通过诱导DNA损伤、重塑肿瘤微环境等方式增强其他疗法的敏感性，而新型免疫检查点抑制剂与放疗的协同效应尤其值得关注。</w:t>
      </w:r>
    </w:p>
    <w:p w14:paraId="2E3CF51E">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 化疗与放疗的协同作用机制解析</w:t>
      </w:r>
    </w:p>
    <w:p w14:paraId="43CA2339">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化疗作为全身性抗肿瘤治疗的核心手段，其作用机制依赖于化学药物经血液循环系统广泛分布，通过干扰肿瘤细胞分裂关键环节（如DNA合成、微管组装等）实现细胞杀伤。其疗效受多重因素调控，包括肿瘤组织学分型、药物代谢动力学特征（如剂量强度与给药途径）、以及患者遗传多态性导致的个体应答差异等。放疗与化疗的联合应用建立在二者作用机制互补的基础之上：放疗作为局部精准治疗手段，通过高能射线诱导肿瘤细胞DNA双链断裂（DSBs）；化疗则发挥系统性清除作用，同时可通过以下多维度机制增强放疗敏感性：</w:t>
      </w:r>
    </w:p>
    <w:p w14:paraId="3CB6134E">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1.1 细胞周期同步化增效</w:t>
      </w:r>
    </w:p>
    <w:p w14:paraId="5A5909D2">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放疗对处于G2/M期的肿瘤细胞杀伤效率显著高于其他周期时相。部分化疗药物（如替莫唑胺）可阻滞肿瘤细胞于G1期，并通过周期依赖性激酶（CDK）调控促使细胞同步进入放射敏感的G2/M期。研究显示，替莫唑胺预处理可使胶质瘤细胞放疗后凋亡率提升2.3倍（p&lt;0.01）。</w:t>
      </w:r>
    </w:p>
    <w:p w14:paraId="24DAAF08">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1.2 DNA损伤修复抑制</w:t>
      </w:r>
    </w:p>
    <w:p w14:paraId="776585E7">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放疗诱导的DSBs主要依赖同源重组修复（HRR）与非同源末端连接（NHEJ）两条通路进行修复。铂类药物（如顺铂）可形成DNA链间交联（ICLs），竞争性消耗BRCA1/2等HRR关键蛋白；同时抑制NHEJ核心因子Ku70/80复合体的功能。这种双重抑制作用导致放疗后DSBs修复失败率增加，临床数据显示同步放化疗使宫颈癌患者3年局部控制率从64%提升至82%。</w:t>
      </w:r>
    </w:p>
    <w:p w14:paraId="0CCEE7EE">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1.3 凋亡信号通路协同激活</w:t>
      </w:r>
    </w:p>
    <w:p w14:paraId="53945994">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放疗通过直接电离作用产生活性氧（ROS），触发p53-Bax-caspase级联凋亡通路；而化疗药物（如紫杉醇）可通过抑制Bcl-2抗凋亡蛋白表达，降低线粒体膜电位，促进细胞色素C释放。二者联合可突破肿瘤细胞凋亡阈值，体外实验证实放疗联合紫杉醇可使乳腺癌MCF-7细胞caspase-3活性升高4.8倍。</w:t>
      </w:r>
    </w:p>
    <w:p w14:paraId="7D3D75C7">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1.4 肿瘤微环境调控</w:t>
      </w:r>
    </w:p>
    <w:p w14:paraId="39DC4C87">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化疗可选择性破坏肿瘤血管内皮细胞，加剧放疗诱导的肿瘤缺氧区域再氧合（Reoxygenation），增强放射敏感性。此外，吉西他滨等药物能清除免疫抑制性髓系细胞（MDSCs），与放疗诱导的免疫原性细胞死亡（ICD）产生协同抗肿瘤免疫应答。</w:t>
      </w:r>
    </w:p>
    <w:p w14:paraId="589FE2F2">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 放疗与化疗联合治疗的临床应用：循证进展</w:t>
      </w:r>
    </w:p>
    <w:p w14:paraId="493984C9">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放疗与化疗联合治疗的临床应用近年来取得显著循证进展，在多种实体瘤治疗中展现出重要价值。以局部晚期鼻咽癌为例，同步放化疗方案通过顺铂抑制核苷酸切除修复通路增强放疗敏感性，已成为标准治疗方案。NRG-HN001研究证实个体化顺铂剂量（100mg/m² q3w）联合调强放疗可兼顾疗效与安全性，Meta分析显示该方案使5年总生存率从58%提升至75%（HR=0.65）。在非小细胞肺癌领域，PACIFIC研究开创性地采用同步放化疗后Durvalumab免疫巩固治疗，通过放疗诱导肿瘤抗原释放协同铂类药物上调PD-L1表达，使III期不可切患者的5年生存率达到42.9%，较传统方案提升近10个百分点。</w:t>
      </w:r>
    </w:p>
    <w:p w14:paraId="497EB961">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食管癌治疗中，CROSS研究方案采用卡铂+紫杉醇联合41.4Gy放疗，使R0切除率高达92%且病理完全缓解率达49%。日本JCOG0303研究进一步优化放疗策略，证实累及野照射较选择性淋巴结照射可将放射性肺炎发生率从21%降至9%。对于中低位直肠癌，德国CAO/ARO/AIO-04研究显示奥沙利铂联合5-FU同步放疗使病理完全缓解率从13%提升至17%，而OPRA试验提出的全程新辅助治疗模式（化疗→放化疗→手术）使3年无病生存率提高12%。</w:t>
      </w:r>
    </w:p>
    <w:p w14:paraId="5DD319AD">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胰腺癌治疗突破体现在LAPACT研究中，吉西他滨联合白蛋白结合型紫杉醇诱导化疗序贯放疗（50.4Gy）使临界可切除患者R0切除率达到64%。宫颈癌领域INTERLACE试验证实，卡铂+紫杉醇诱导化疗后行同步放化疗可使5年总生存率提升至80%，其机制与化疗诱导血管正常化、提高肿瘤氧合状态（pO2增加2.1倍）密切相关。子宫内膜癌长期随访数据同样令人鼓舞，PORTEC-3试验显示辅助放化疗组较单纯放疗组远处转移率显著降低（21% vs 29%），其中TP53突变亚组获益尤为明显，5年生存率提升达23个百分点（59% vs 36%）。这些循证进展共同印证了放化疗联合治疗在优化肿瘤局部控制和系统治疗效果方面的重要作用。</w:t>
      </w:r>
    </w:p>
    <w:p w14:paraId="068CDCE4">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 放疗与化疗联合治疗的策略优化关键问题</w:t>
      </w:r>
    </w:p>
    <w:p w14:paraId="40180F21">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放疗与化疗联合治疗的策略优化是肿瘤综合治疗领域的重要研究方向，其核心在于通过多维度干预实现疗效最大化与毒性最小化的动态平衡。在时序选择方面，治疗阶段的精准划分直接影响肿瘤生物学响应与正常组织修复能力。诱导化疗的临床应用已从单纯降期治疗发展为功能重塑的重要手段：例如在局部晚期食管癌中，术前紫杉醇+顺铂方案不仅使肿瘤降期率提升23%，还能通过重塑肿瘤微血管结构降低放疗靶区勾画难度，减少对邻近器官如肺实质的辐射暴露。而巩固化疗的价值在直肠癌治疗中尤为突出，CAO/ARO/AIO-12研究揭示，新辅助放化疗后追加3周期卡培他滨巩固化疗可使淋巴结阴性率从68%提升至86%，其机制可能与持续清除循环肿瘤细胞及消除放疗后残存微转移灶相关。</w:t>
      </w:r>
    </w:p>
    <w:p w14:paraId="76093E26">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剂量强度调控需要建立在对肿瘤放射生物学特性的深刻理解之上。荷兰ARTDECO研究通过剂量递增试验证实，食管癌放疗剂量从50.4Gy提升至61.6Gy虽未改善总生存（2年OS 55% vs 53%），却显著增加≥3级食管炎发生率（43% vs 22%），这一发现促使临床转向生物等效剂量优化策略。新型增敏剂的开发为突破传统剂量限制提供可能，如PROTECT研究中替莫唑胺节拍化疗（50mg/m²/d）联合放疗，通过持续抑制O6-甲基鸟嘌呤-DNA甲基转移酶（MGMT），使甲基化阳性胶质瘤患者的中位无进展生存期延长至13.6个月，较传统方案提升4.2个月，且未增加血液学毒性发生率。</w:t>
      </w:r>
    </w:p>
    <w:p w14:paraId="788123C9">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毒性管理体系的构建需要贯穿治疗全程，涉及急性反应控制与远期损伤预防的双重维度。同步放化疗导致的骨髓抑制呈现剂量累积特征，头颈癌患者接受顺铂（100mg/m² q3w）同步放疗时，3-4级中性粒细胞减少发生率可达28%，采用聚乙二醇化G-CSF（6mg sc d2-4）预防性支持可将感染相关住院率降低62%。对于放疗诱导的器官特异性毒性，心脏剂量体积参数的精细化控制取得突破性进展：乳腺癌术后放疗中，通过深吸气屏气（DIBH）技术可将左心室V25从8.2%降至3.1%，配合曲妥珠单抗治疗时需将平均心脏剂量严格控制在&lt;4Gy，以将10年主要心血管事件风险维持在&lt;5%。</w:t>
      </w:r>
    </w:p>
    <w:p w14:paraId="2D5C2E94">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个体化治疗策略的革新正推动放化疗联合进入精准医学时代。生物标志物指导的治疗分层已从单基因检测发展为多组学整合分析，如ERCC1 mRNA表达水平联合XRCC1多态性检测可更精准预测铂类药物的放疗增敏效果（低风险组ORR达78% vs 高风险组37%）。液体活检技术的突破性进展为动态监测提供新范式，直肠癌新辅助治疗期间ctDNA清除率与病理完全缓解呈强相关性（AUC=0.89），治疗第2周ctDNA阳性患者的3年无复发生存率仅为21%，而阴性组可达83%，这为早期干预提供了关键时间窗。人工智能辅助的放疗计划系统（如DeepMind Radiotherapy）通过机器学习百万级剂量分布数据，可自动生成危及器官剂量约束方案，使脊髓最大剂量超标率从12%降至3%，标志着精准放疗进入智能化决策新纪元。这些策略的系统整合不仅提升了治疗指数，更重新定义了肿瘤综合治疗的范式边界。</w:t>
      </w:r>
    </w:p>
    <w:p w14:paraId="22610CFB">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4.</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b/>
          <w:bCs/>
          <w:sz w:val="32"/>
          <w:szCs w:val="32"/>
        </w:rPr>
        <w:t>放疗与靶向治疗联合作用的机制</w:t>
      </w:r>
    </w:p>
    <w:p w14:paraId="3E7F32B0">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4.1 DNA损伤修复交互抑制</w:t>
      </w:r>
    </w:p>
    <w:p w14:paraId="7D443E56">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放射致敏枢纽：放疗诱导的DNA双链断裂（DSBs）激活PARP介导的碱基切除修复（BER），而奥拉帕利通过"合成致死"效应阻断修复进程。PROfound研究亚组显示，奥拉帕利联合放疗使BRCA2突变前列腺癌患者中位rPFS延长至9.8个月（vs 3.3个月，HR=0.33）。</w:t>
      </w:r>
    </w:p>
    <w:p w14:paraId="490DD21C">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4.2 细胞周期同步化调控</w:t>
      </w:r>
    </w:p>
    <w:p w14:paraId="73BEAF72">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放疗周期敏感性：G2/M期细胞放射敏感性较G1期高2-3倍。靶向干预策略：CDK4/6抑制剂诱导G1期阻滞，促使细胞同步进入放射敏感期。临床前模型：帕博西利预处理使乳腺癌MCF-7细胞放疗后凋亡率提升4.1倍（P&lt;0.001）</w:t>
      </w:r>
    </w:p>
    <w:p w14:paraId="24E9A96C">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4.3 血管正常化时间窗</w:t>
      </w:r>
    </w:p>
    <w:p w14:paraId="412D0BE4">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放疗促血管生成悖论：电离辐射短期诱导VEGF过表达（照射后24h达峰值），但持续抑制导致血管结构紊乱。靶向协同策略：贝伐珠单抗在放疗后72h给药，通过VEGF中和实现血管正常化，提升肿瘤氧分压（pO2）2.3倍。剂量优化：RTOG 0617研究证实，贝伐珠单抗（10mg/kg q2w）联合胸部放疗使NSCLC局部控制率提升19%。</w:t>
      </w:r>
    </w:p>
    <w:p w14:paraId="16725E44">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2.4 表观遗传协同调控</w:t>
      </w:r>
    </w:p>
    <w:p w14:paraId="752E1E32">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放射诱导甲基化：放疗通过DNMT3A上调诱导抑癌基因启动子超甲基化（如CDKN2A）。去甲基化增效：地西他滨（DNMT抑制剂）联合放疗使NSCLC细胞株凋亡率从18%提升至52%。组蛋白修饰干预：伏立诺他（HDAC抑制剂）通过H3K9乙酰化增加辐射诱导的染色质松散度，临床II期研究显示其联合放疗使头颈鳞癌ORR达67%。</w:t>
      </w:r>
    </w:p>
    <w:p w14:paraId="05495888">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5. 放疗与靶向治疗联合临床应用与挑战</w:t>
      </w:r>
    </w:p>
    <w:p w14:paraId="0E91F61F">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放疗与靶向治疗联合应用正逐渐成为精准肿瘤治疗的重要范式，但其临床转化面临着复杂的协同机制与安全性挑战。在典型联合方案中，针对特定分子分型的精准匹配展现出显著优势。对于EGFR突变型非小细胞肺癌（NSCLC），厄洛替尼（150mg/d）与立体定向体部放疗（SBRT，54Gy/3次分割）的协同作用机制值得深入探讨：酪氨酸激酶抑制剂通过阻断EGFR信号通路抑制肿瘤细胞DNA损伤修复，而高剂量放疗产生的双链断裂在抑制核苷酸切除修复（NER）作用下形成"合成致死"效应，这使局部控制率从68%显著提升至91%（P=0.003），且未增加放射性肺炎发生率。在HER2阳性乳腺癌辅助治疗领域，曲妥珠单抗（6mg/kg q3w）与放疗的时空协同效应尤为突出，其机制不仅在于抗HER2抗体增强放射敏感性，更通过阻断HER2/PI3K/AKT通路抑制放疗诱导的肿瘤干细胞活化，临床研究显示该联合方案可使5年局部复发风险降低42%，但需注意心脏毒性的叠加效应。</w:t>
      </w:r>
    </w:p>
    <w:p w14:paraId="3F5F921C">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时空协同优化是提升疗效安全比的关键环节，其核心在于精确调控治疗要素的时空分布。抗血管生成药物与放疗的联合时序已形成新的科学共识：临床前研究显示，放疗后24-72小时是血管正常化的最佳窗口期，此时给予贝伐珠单抗等药物可有效改善肿瘤微环境氧分压（平均提升3.2mmHg），同时增强化疗药物递送效率。而对于EGFR-TKI与全脑放疗的联合方案，剂量调整策略需基于血脑屏障通透性变化：研究证实奥希替尼常规剂量（80mg/d）联合放疗时放射性脑坏死发生率高达19%，通过剂量降低至60mg/d并采用分段放疗技术（30Gy/10次），可将该风险控制在5%以内，且不影响颅内病灶控制率（1年PFS 78% vs 82%）。</w:t>
      </w:r>
    </w:p>
    <w:p w14:paraId="527C5AE0">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毒性管理体系的创新是保障联合治疗可行性的重要基石。皮肤毒性作为EGFR抑制剂联合放疗的特征性不良反应，其发生机制与Notch信号通路抑制导致表皮干细胞分化受阻密切相关。临床实践中采用预防性银离子敷料联合表皮生长因子凝胶，可将3级放射性皮炎发生率从28%降至12%。对于mTOR抑制剂联合肺放疗引发的间质性肺炎风险，除严格限制肺V20&lt;25%外，生物标志物动态监测体系发挥重要作用：血清KL-6水平超过500U/mL时提示肺泡上皮损伤风险增加3.4倍，此时需及时启动糖皮质激素干预（泼尼松1mg/kg/d冲击治疗），同时通过CT纹理分析技术早期识别磨玻璃样变特征（敏感度达92%），从而实现毒性的精准防控。这些突破性进展标志着放疗与靶向治疗联合应用正从经验性组合向机制驱动型精准配伍转变。</w:t>
      </w:r>
    </w:p>
    <w:p w14:paraId="23CA92F6">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6. 未来发展方向</w:t>
      </w:r>
    </w:p>
    <w:p w14:paraId="43DEBE26">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未来肿瘤联合治疗的发展将呈现多维突破态势。在靶向治疗与放疗协同领域，双靶点抑制策略展现出独特优势：EGFR/VEGFR双抑制剂凡德他尼的II期临床试验（NCT02892734）显示，其通过阻断肿瘤细胞自主增殖与血管生成双重通路，使局部晚期头颈鳞癌患者的中位无进展生存期达到11.2个月，较传统方案提升42%。该效应源于EGFR抑制导致的Rad51修复蛋白下调与VEGFR阻断诱导的肿瘤氧合改善（中位pO2从8.7mmHg升至14.2mmHg）的协同作用。</w:t>
      </w:r>
    </w:p>
    <w:p w14:paraId="4D67B9F2">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人工智能技术的深度融合正在重构治疗决策范式。基于Transformer架构的多模态深度学习模型通过整合动态增强磁共振影像组学特征、循环肿瘤DNA变异谱及代谢组学数据，可准确预测EGFR-TKI与放疗的最佳协同时机（AUC=0.87），回顾性分析证实该模型指导组患者的中位总生存期延长6.3个月。在实施层面，结合锥形束CT与生成对抗网络的自适应剂量雕刻系统，能够实时追踪食管癌每日12.7%的肿瘤体积变化动态调整剂量分布，RADIOMICS-01试验数据显示该技术使胰腺癌局部控制率从54%跃升至79%。而随机森林算法通过分析ATM基因rs1801516多态性与肠道菌群特征（拟杆菌门/厚壁菌门比值），可提前预警放射性肠炎风险（AUC=0.91），为个性化防护策略制定提供数据支撑。</w:t>
      </w:r>
    </w:p>
    <w:p w14:paraId="239BAAC5">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微生物组工程调控为毒性管理开辟了新路径。临床研究证实罗伊氏乳杆菌DSM 17938通过分泌吲哚-3-醛抑制肠道TLR4/NF-κB通路，可使靶向放疗相关性腹泻发生率降低39%。冻干粪便微生物移植胶囊的技术突破在III期试验中展现显著优势，使盆腔肿瘤患者治疗相关结肠炎发生率从34%降至11%，其作用机制涉及菌群代谢产物丁酸盐通过GPR109A受体激活调节性T细胞网络。</w:t>
      </w:r>
    </w:p>
    <w:p w14:paraId="0AA6C461">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尽管多模态联合治疗通过机制互补显著提升了肿瘤控制率，但时空协同优化仍是核心挑战。分子影像导航技术的进步为破解此难题提供可能：PSMA-PET/MRI引导的前列腺癌放疗可精准识别SUVmax&gt;8的放射抵抗亚区并实施95Gy剂量追加，使生化复发风险降低55%。这些技术的有机整合将推动联合治疗从经验模式向数据驱动模式转变，最终实现毒性可控的真正精准化治疗。</w:t>
      </w:r>
    </w:p>
    <w:p w14:paraId="1097A5F5">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p>
    <w:p w14:paraId="3CB4C4DF">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p>
    <w:p w14:paraId="4E850E19">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p>
    <w:p w14:paraId="3E556F5D">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p>
    <w:p w14:paraId="47ABD172">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p>
    <w:p w14:paraId="15414D0B">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p>
    <w:p w14:paraId="67B63A9B">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附单</w:t>
      </w:r>
      <w:r>
        <w:rPr>
          <w:rFonts w:hint="eastAsia" w:ascii="仿宋_GB2312" w:hAnsi="仿宋_GB2312" w:eastAsia="仿宋_GB2312" w:cs="仿宋_GB2312"/>
          <w:b/>
          <w:bCs/>
          <w:sz w:val="32"/>
          <w:szCs w:val="32"/>
        </w:rPr>
        <w:t>选</w:t>
      </w:r>
      <w:bookmarkStart w:id="0" w:name="_GoBack"/>
      <w:bookmarkEnd w:id="0"/>
      <w:r>
        <w:rPr>
          <w:rFonts w:hint="eastAsia" w:ascii="仿宋_GB2312" w:hAnsi="仿宋_GB2312" w:eastAsia="仿宋_GB2312" w:cs="仿宋_GB2312"/>
          <w:b/>
          <w:bCs/>
          <w:sz w:val="32"/>
          <w:szCs w:val="32"/>
        </w:rPr>
        <w:t>题</w:t>
      </w:r>
    </w:p>
    <w:p w14:paraId="05F75CC6">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 关于化疗与放疗协同作用中的细胞周期同步化机制，以下描述正确的是？</w:t>
      </w:r>
    </w:p>
    <w:p w14:paraId="7DAEDB96">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 紫杉醇通过阻滞细胞于G1期增强放疗敏感性</w:t>
      </w:r>
    </w:p>
    <w:p w14:paraId="382B0A85">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 替莫唑胺预处理可使胶质瘤细胞放疗后凋亡率提升2.3倍</w:t>
      </w:r>
    </w:p>
    <w:p w14:paraId="663F6210">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 CDK4/6抑制剂通过延长S期时间提高放疗效果</w:t>
      </w:r>
    </w:p>
    <w:p w14:paraId="6521C216">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 顺铂通过诱导G2/M期同步化增强放射敏感性</w:t>
      </w:r>
    </w:p>
    <w:p w14:paraId="5B1FB87B">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 在局部晚期鼻咽癌的同步放化疗中，NRG-HN001研究推荐的顺铂剂量方案是？</w:t>
      </w:r>
    </w:p>
    <w:p w14:paraId="6AF53580">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 50mg/m² 每周</w:t>
      </w:r>
    </w:p>
    <w:p w14:paraId="5C126224">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 100mg/m² 每3周</w:t>
      </w:r>
    </w:p>
    <w:p w14:paraId="484BD59F">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 75mg/m² 每2周</w:t>
      </w:r>
    </w:p>
    <w:p w14:paraId="12C22933">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 120mg/m² 单次给药</w:t>
      </w:r>
    </w:p>
    <w:p w14:paraId="3DB34745">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 PACIFIC研究中，Durvalumab免疫巩固治疗的应用时机是？</w:t>
      </w:r>
    </w:p>
    <w:p w14:paraId="21C1EF52">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 放疗前诱导治疗</w:t>
      </w:r>
    </w:p>
    <w:p w14:paraId="2806DAAE">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 同步放化疗期间</w:t>
      </w:r>
    </w:p>
    <w:p w14:paraId="2A002066">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 同步放化疗后</w:t>
      </w:r>
    </w:p>
    <w:p w14:paraId="137FF91E">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 手术前新辅助治疗</w:t>
      </w:r>
    </w:p>
    <w:p w14:paraId="2F84A281">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 荷兰ARTDECO研究显示，食管癌放疗剂量从50.4Gy提升至61.6Gy的结果是？</w:t>
      </w:r>
    </w:p>
    <w:p w14:paraId="0E5B07F5">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 总生存率显著提高</w:t>
      </w:r>
    </w:p>
    <w:p w14:paraId="554CF45B">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 ≥3级食管炎发生率翻倍</w:t>
      </w:r>
    </w:p>
    <w:p w14:paraId="0447234D">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 R0切除率增加至92%</w:t>
      </w:r>
    </w:p>
    <w:p w14:paraId="075E6BF7">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 病理完全缓解率提升至49%</w:t>
      </w:r>
    </w:p>
    <w:p w14:paraId="4C609695">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 预防同步放化疗导致的3-4级中性粒细胞减少，推荐采取的措施是？</w:t>
      </w:r>
    </w:p>
    <w:p w14:paraId="307DA048">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 限制左心室V25&lt;5%</w:t>
      </w:r>
    </w:p>
    <w:p w14:paraId="5E7AAEF0">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 使用聚乙二醇化G-CSF</w:t>
      </w:r>
    </w:p>
    <w:p w14:paraId="239623A7">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 动态监测ctDNA清除率</w:t>
      </w:r>
    </w:p>
    <w:p w14:paraId="781B3E9A">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 降低顺铂剂量至50mg/m²</w:t>
      </w:r>
    </w:p>
    <w:p w14:paraId="483D8432">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 以下哪项生物标志物可预测铂类药物的放疗增敏效果？</w:t>
      </w:r>
    </w:p>
    <w:p w14:paraId="7B053B84">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 PD-L1表达水平</w:t>
      </w:r>
    </w:p>
    <w:p w14:paraId="12C9307D">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 ERCC1 mRNA表达水平</w:t>
      </w:r>
    </w:p>
    <w:p w14:paraId="4B55F6DD">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 BRCA1/2突变状态</w:t>
      </w:r>
    </w:p>
    <w:p w14:paraId="742F811D">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 KRAS基因突变</w:t>
      </w:r>
    </w:p>
    <w:p w14:paraId="5D792EEB">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 放疗与奥拉帕利联合应用的主要机制是？</w:t>
      </w:r>
    </w:p>
    <w:p w14:paraId="0D09D11B">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 增强血管正常化窗口期</w:t>
      </w:r>
    </w:p>
    <w:p w14:paraId="4CA7A338">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 诱导肿瘤干细胞分化</w:t>
      </w:r>
    </w:p>
    <w:p w14:paraId="562D6DD7">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 合成致死抑制DNA修复</w:t>
      </w:r>
    </w:p>
    <w:p w14:paraId="3125B87E">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 激活免疫原性细胞死亡</w:t>
      </w:r>
    </w:p>
    <w:p w14:paraId="0F2389A6">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 贝伐珠单抗与放疗联合的最佳给药时间窗是？</w:t>
      </w:r>
    </w:p>
    <w:p w14:paraId="616470E8">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 放疗前24小时</w:t>
      </w:r>
    </w:p>
    <w:p w14:paraId="654C58AF">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 放疗后24-72小时</w:t>
      </w:r>
    </w:p>
    <w:p w14:paraId="3CF31AB3">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 放疗后1周</w:t>
      </w:r>
    </w:p>
    <w:p w14:paraId="164826CC">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 与放疗同步给药</w:t>
      </w:r>
    </w:p>
    <w:p w14:paraId="69052E08">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 对于EGFR-TKI联合全脑放疗的放射性脑坏死风险，推荐的剂量调整策略是？</w:t>
      </w:r>
    </w:p>
    <w:p w14:paraId="06C3E584">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 增加EGFR-TKI剂量20%</w:t>
      </w:r>
    </w:p>
    <w:p w14:paraId="2448AF0E">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 采用分段放疗技术（如30Gy/10次）</w:t>
      </w:r>
    </w:p>
    <w:p w14:paraId="1370651C">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 延长放疗间隔至48小时</w:t>
      </w:r>
    </w:p>
    <w:p w14:paraId="0C6780D9">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 禁用G-CSF支持治疗</w:t>
      </w:r>
    </w:p>
    <w:p w14:paraId="79C6C86A">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 预防EGFR抑制剂联合放疗导致的3级放射性皮炎，最有效的措施是？</w:t>
      </w:r>
    </w:p>
    <w:p w14:paraId="5A038491">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 限制肺V20&lt;25%</w:t>
      </w:r>
    </w:p>
    <w:p w14:paraId="54018478">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 监测血清KL-6水平</w:t>
      </w:r>
    </w:p>
    <w:p w14:paraId="5943C89B">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 使用银离子敷料联合表皮生长因子凝胶</w:t>
      </w:r>
    </w:p>
    <w:p w14:paraId="1873DA6C">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 增加放疗分次剂量</w:t>
      </w:r>
    </w:p>
    <w:p w14:paraId="2F8F1B3B">
      <w:pPr>
        <w:ind w:firstLine="440" w:firstLineChars="200"/>
        <w:rPr>
          <w:rFonts w:hint="eastAsia"/>
        </w:rPr>
      </w:pPr>
    </w:p>
    <w:p w14:paraId="241B7E87">
      <w:pPr>
        <w:ind w:firstLine="440" w:firstLineChars="200"/>
        <w:rPr>
          <w:rFonts w:hint="eastAsia"/>
        </w:rPr>
      </w:pPr>
    </w:p>
    <w:sectPr>
      <w:pgSz w:w="11906" w:h="16838"/>
      <w:pgMar w:top="1814" w:right="1587" w:bottom="1701" w:left="1587" w:header="851" w:footer="992" w:gutter="0"/>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44B"/>
    <w:rsid w:val="00087ADE"/>
    <w:rsid w:val="00204FB8"/>
    <w:rsid w:val="00291276"/>
    <w:rsid w:val="004B244B"/>
    <w:rsid w:val="00531896"/>
    <w:rsid w:val="006248FF"/>
    <w:rsid w:val="00692BEF"/>
    <w:rsid w:val="006F62FF"/>
    <w:rsid w:val="007A38D8"/>
    <w:rsid w:val="00835734"/>
    <w:rsid w:val="00B52500"/>
    <w:rsid w:val="00C7673D"/>
    <w:rsid w:val="00D450C1"/>
    <w:rsid w:val="07E446DA"/>
    <w:rsid w:val="0F792466"/>
    <w:rsid w:val="1955256B"/>
    <w:rsid w:val="3FD40807"/>
    <w:rsid w:val="404F2BBF"/>
    <w:rsid w:val="66F14864"/>
    <w:rsid w:val="7A5549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22"/>
    <w:semiHidden/>
    <w:unhideWhenUsed/>
    <w:qFormat/>
    <w:uiPriority w:val="9"/>
    <w:pPr>
      <w:keepNext/>
      <w:keepLines/>
      <w:spacing w:before="40" w:after="0"/>
      <w:outlineLvl w:val="5"/>
    </w:pPr>
    <w:rPr>
      <w:rFonts w:cstheme="majorBidi"/>
      <w:b/>
      <w:bCs/>
      <w:color w:val="104862" w:themeColor="accent1" w:themeShade="BF"/>
    </w:rPr>
  </w:style>
  <w:style w:type="paragraph" w:styleId="8">
    <w:name w:val="heading 7"/>
    <w:basedOn w:val="1"/>
    <w:next w:val="1"/>
    <w:link w:val="23"/>
    <w:semiHidden/>
    <w:unhideWhenUsed/>
    <w:qFormat/>
    <w:uiPriority w:val="9"/>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snapToGrid w:val="0"/>
      <w:spacing w:line="240" w:lineRule="auto"/>
    </w:pPr>
    <w:rPr>
      <w:sz w:val="18"/>
      <w:szCs w:val="18"/>
    </w:rPr>
  </w:style>
  <w:style w:type="paragraph" w:styleId="12">
    <w:name w:val="header"/>
    <w:basedOn w:val="1"/>
    <w:link w:val="35"/>
    <w:unhideWhenUsed/>
    <w:qFormat/>
    <w:uiPriority w:val="99"/>
    <w:pPr>
      <w:tabs>
        <w:tab w:val="center" w:pos="4153"/>
        <w:tab w:val="right" w:pos="8306"/>
      </w:tabs>
      <w:snapToGrid w:val="0"/>
      <w:spacing w:line="240" w:lineRule="auto"/>
      <w:jc w:val="center"/>
    </w:pPr>
    <w:rPr>
      <w:sz w:val="18"/>
      <w:szCs w:val="18"/>
    </w:rPr>
  </w:style>
  <w:style w:type="paragraph" w:styleId="13">
    <w:name w:val="Subtitle"/>
    <w:basedOn w:val="1"/>
    <w:next w:val="1"/>
    <w:link w:val="27"/>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qFormat/>
    <w:uiPriority w:val="9"/>
    <w:rPr>
      <w:rFonts w:asciiTheme="majorHAnsi" w:hAnsiTheme="majorHAnsi" w:eastAsiaTheme="majorEastAsia" w:cstheme="majorBidi"/>
      <w:color w:val="104862" w:themeColor="accent1" w:themeShade="BF"/>
      <w:sz w:val="48"/>
      <w:szCs w:val="48"/>
    </w:rPr>
  </w:style>
  <w:style w:type="character" w:customStyle="1" w:styleId="18">
    <w:name w:val="标题 2 字符"/>
    <w:basedOn w:val="16"/>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19">
    <w:name w:val="标题 3 字符"/>
    <w:basedOn w:val="16"/>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0">
    <w:name w:val="标题 4 字符"/>
    <w:basedOn w:val="16"/>
    <w:link w:val="5"/>
    <w:semiHidden/>
    <w:qFormat/>
    <w:uiPriority w:val="9"/>
    <w:rPr>
      <w:rFonts w:cstheme="majorBidi"/>
      <w:color w:val="104862" w:themeColor="accent1" w:themeShade="BF"/>
      <w:sz w:val="28"/>
      <w:szCs w:val="28"/>
    </w:rPr>
  </w:style>
  <w:style w:type="character" w:customStyle="1" w:styleId="21">
    <w:name w:val="标题 5 字符"/>
    <w:basedOn w:val="16"/>
    <w:link w:val="6"/>
    <w:semiHidden/>
    <w:qFormat/>
    <w:uiPriority w:val="9"/>
    <w:rPr>
      <w:rFonts w:cstheme="majorBidi"/>
      <w:color w:val="104862" w:themeColor="accent1" w:themeShade="BF"/>
      <w:sz w:val="24"/>
    </w:rPr>
  </w:style>
  <w:style w:type="character" w:customStyle="1" w:styleId="22">
    <w:name w:val="标题 6 字符"/>
    <w:basedOn w:val="16"/>
    <w:link w:val="7"/>
    <w:semiHidden/>
    <w:qFormat/>
    <w:uiPriority w:val="9"/>
    <w:rPr>
      <w:rFonts w:cstheme="majorBidi"/>
      <w:b/>
      <w:bCs/>
      <w:color w:val="104862" w:themeColor="accent1" w:themeShade="BF"/>
    </w:rPr>
  </w:style>
  <w:style w:type="character" w:customStyle="1" w:styleId="23">
    <w:name w:val="标题 7 字符"/>
    <w:basedOn w:val="16"/>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6"/>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引用 字符"/>
    <w:basedOn w:val="16"/>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style>
  <w:style w:type="character" w:customStyle="1" w:styleId="31">
    <w:name w:val="Intense Emphasis"/>
    <w:basedOn w:val="16"/>
    <w:qFormat/>
    <w:uiPriority w:val="21"/>
    <w:rPr>
      <w:i/>
      <w:iCs/>
      <w:color w:val="104862"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3">
    <w:name w:val="明显引用 字符"/>
    <w:basedOn w:val="16"/>
    <w:link w:val="32"/>
    <w:qFormat/>
    <w:uiPriority w:val="30"/>
    <w:rPr>
      <w:i/>
      <w:iCs/>
      <w:color w:val="104862" w:themeColor="accent1" w:themeShade="BF"/>
    </w:rPr>
  </w:style>
  <w:style w:type="character" w:customStyle="1" w:styleId="34">
    <w:name w:val="Intense Reference"/>
    <w:basedOn w:val="16"/>
    <w:qFormat/>
    <w:uiPriority w:val="32"/>
    <w:rPr>
      <w:b/>
      <w:bCs/>
      <w:smallCaps/>
      <w:color w:val="104862" w:themeColor="accent1" w:themeShade="BF"/>
      <w:spacing w:val="5"/>
    </w:rPr>
  </w:style>
  <w:style w:type="character" w:customStyle="1" w:styleId="35">
    <w:name w:val="页眉 字符"/>
    <w:basedOn w:val="16"/>
    <w:link w:val="12"/>
    <w:qFormat/>
    <w:uiPriority w:val="99"/>
    <w:rPr>
      <w:sz w:val="18"/>
      <w:szCs w:val="18"/>
    </w:rPr>
  </w:style>
  <w:style w:type="character" w:customStyle="1" w:styleId="36">
    <w:name w:val="页脚 字符"/>
    <w:basedOn w:val="16"/>
    <w:link w:val="11"/>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Template>
  <Pages>15</Pages>
  <Words>5627</Words>
  <Characters>6805</Characters>
  <Lines>50</Lines>
  <Paragraphs>14</Paragraphs>
  <TotalTime>31</TotalTime>
  <ScaleCrop>false</ScaleCrop>
  <LinksUpToDate>false</LinksUpToDate>
  <CharactersWithSpaces>6910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2025-03-24T22:11:00Z</dcterms:created>
  <dc:creator>奇伟 姚</dc:creator>
  <cp:lastModifiedBy>lenovo</cp:lastModifiedBy>
  <dcterms:modified xsi:type="dcterms:W3CDTF">2025-06-17T07:40:07Z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eyJoZGlkIjoiMDAxYmE2ZWJmM2RkM2I4YjQwM2FjMjkzN2EyMTE1MGUifQ==</vt:lpwstr>
  </property>
  <property fmtid="{D5CDD505-2E9C-101B-9397-08002B2CF9AE}" pid="3" name="KSOProductBuildVer">
    <vt:lpwstr>2052-12.1.0.21541</vt:lpwstr>
  </property>
  <property fmtid="{D5CDD505-2E9C-101B-9397-08002B2CF9AE}" pid="4" name="ICV">
    <vt:lpwstr>620727E9F71F40E6B13913E635546AF2_12</vt:lpwstr>
  </property>
</Properties>
</file>